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4B" w:rsidRDefault="00CE1E4B" w:rsidP="00CE1E4B">
      <w:pPr>
        <w:pStyle w:val="2"/>
        <w:jc w:val="right"/>
        <w:rPr>
          <w:sz w:val="24"/>
          <w:szCs w:val="24"/>
        </w:rPr>
      </w:pPr>
      <w:r w:rsidRPr="00CE1E4B">
        <w:rPr>
          <w:sz w:val="24"/>
          <w:szCs w:val="24"/>
        </w:rPr>
        <w:t>В.В. Воловик</w:t>
      </w:r>
    </w:p>
    <w:p w:rsidR="00CE1E4B" w:rsidRPr="00CE1E4B" w:rsidRDefault="00CE1E4B" w:rsidP="00CE1E4B"/>
    <w:p w:rsidR="00914261" w:rsidRDefault="00EC47D4" w:rsidP="00914261">
      <w:pPr>
        <w:pStyle w:val="2"/>
      </w:pPr>
      <w:r>
        <w:t xml:space="preserve">становление и эволюция </w:t>
      </w:r>
      <w:r w:rsidR="000D04BB">
        <w:t>инженерного мышления</w:t>
      </w:r>
      <w:r>
        <w:t xml:space="preserve">. </w:t>
      </w:r>
      <w:r w:rsidR="00914261">
        <w:t xml:space="preserve">Институциональный контекст </w:t>
      </w:r>
    </w:p>
    <w:p w:rsidR="003A6F12" w:rsidRDefault="00914261" w:rsidP="003A6F12">
      <w:r>
        <w:t>Я</w:t>
      </w:r>
      <w:r w:rsidR="00237404">
        <w:t xml:space="preserve"> начинаю историю инженерии с Возрождения и связываю </w:t>
      </w:r>
      <w:r w:rsidR="0011033B">
        <w:t>становление инженерного мышления</w:t>
      </w:r>
      <w:r w:rsidR="00237404">
        <w:t xml:space="preserve"> с</w:t>
      </w:r>
      <w:r w:rsidR="003A6F12">
        <w:t xml:space="preserve"> </w:t>
      </w:r>
      <w:r w:rsidR="00A83E3F">
        <w:t>тр</w:t>
      </w:r>
      <w:r w:rsidR="00237404">
        <w:t>емя</w:t>
      </w:r>
      <w:r w:rsidR="003A6F12">
        <w:t xml:space="preserve"> лини</w:t>
      </w:r>
      <w:r w:rsidR="00237404">
        <w:t>ями</w:t>
      </w:r>
      <w:r w:rsidR="003A6F12">
        <w:t>:</w:t>
      </w:r>
    </w:p>
    <w:p w:rsidR="005308F3" w:rsidRDefault="003A6F12" w:rsidP="003A6F12">
      <w:pPr>
        <w:pStyle w:val="a"/>
        <w:numPr>
          <w:ilvl w:val="0"/>
          <w:numId w:val="2"/>
        </w:numPr>
      </w:pPr>
      <w:r w:rsidRPr="004A2940">
        <w:rPr>
          <w:b/>
        </w:rPr>
        <w:t>Первая линия</w:t>
      </w:r>
      <w:r>
        <w:t xml:space="preserve"> </w:t>
      </w:r>
      <w:r w:rsidR="00237404">
        <w:t xml:space="preserve">примыкает к </w:t>
      </w:r>
      <w:r w:rsidR="00237404" w:rsidRPr="00496EB2">
        <w:rPr>
          <w:b/>
          <w:i/>
        </w:rPr>
        <w:t>ремеслам</w:t>
      </w:r>
      <w:r w:rsidR="00237404">
        <w:t xml:space="preserve"> или к </w:t>
      </w:r>
      <w:r w:rsidR="00237404">
        <w:rPr>
          <w:lang w:val="la-Latn"/>
        </w:rPr>
        <w:t>artes tecnikae</w:t>
      </w:r>
      <w:r w:rsidR="00237404">
        <w:t xml:space="preserve">, которые ко времени Возрождения были институционализированы в </w:t>
      </w:r>
      <w:r w:rsidR="00237404" w:rsidRPr="00496EB2">
        <w:rPr>
          <w:b/>
          <w:i/>
        </w:rPr>
        <w:t>цеха</w:t>
      </w:r>
      <w:r w:rsidR="00914261">
        <w:rPr>
          <w:b/>
          <w:i/>
        </w:rPr>
        <w:t>.</w:t>
      </w:r>
    </w:p>
    <w:p w:rsidR="003A6F12" w:rsidRDefault="00237404" w:rsidP="005308F3">
      <w:pPr>
        <w:pStyle w:val="a"/>
        <w:numPr>
          <w:ilvl w:val="1"/>
          <w:numId w:val="2"/>
        </w:numPr>
      </w:pPr>
      <w:r>
        <w:t>Она, в</w:t>
      </w:r>
      <w:r w:rsidR="005308F3">
        <w:t xml:space="preserve">о-первых, </w:t>
      </w:r>
      <w:r>
        <w:t xml:space="preserve">связана </w:t>
      </w:r>
      <w:r w:rsidR="005308F3">
        <w:t>с</w:t>
      </w:r>
      <w:r w:rsidR="003A6F12">
        <w:t xml:space="preserve"> появлением технического рисунка (</w:t>
      </w:r>
      <w:r>
        <w:t xml:space="preserve">как </w:t>
      </w:r>
      <w:r w:rsidR="003A6F12">
        <w:t xml:space="preserve">и анатомического рисунка в медицине). </w:t>
      </w:r>
      <w:r w:rsidR="00972C41">
        <w:t>Эта линия</w:t>
      </w:r>
      <w:r w:rsidR="003A6F12">
        <w:t xml:space="preserve"> возникает в среде художников и архитекторов итальянского Возрождения и прослеживается по крайней мере от Филиппе Брунеллески. У Дюрера уже есть рисунок головы с проекциями. По этой линии впервые ставится задача положить объект как целое в виде, позволяющем манипулировать отдельными элементами конструкции (увеличивать, уменьшать, менять пропорции, менять местами и т.п.). Точное изображение</w:t>
      </w:r>
      <w:r w:rsidR="00972C41">
        <w:t>,</w:t>
      </w:r>
      <w:r w:rsidR="003A6F12">
        <w:t xml:space="preserve"> еще до расчета</w:t>
      </w:r>
      <w:r w:rsidR="00972C41">
        <w:t>,</w:t>
      </w:r>
      <w:r w:rsidR="003A6F12">
        <w:t xml:space="preserve"> позволило, например, английским  корабелам делать лекала шпангоутов, бимсов и т.д.  и выпускать серийные корабли. Эта линия ведет к дискриптивной </w:t>
      </w:r>
      <w:r w:rsidR="0011033B">
        <w:t xml:space="preserve">(начертательной) </w:t>
      </w:r>
      <w:r w:rsidR="003A6F12">
        <w:t xml:space="preserve">геометрии Гаспара Монжа. </w:t>
      </w:r>
    </w:p>
    <w:p w:rsidR="00050F32" w:rsidRDefault="005308F3" w:rsidP="005308F3">
      <w:pPr>
        <w:pStyle w:val="a"/>
        <w:numPr>
          <w:ilvl w:val="1"/>
          <w:numId w:val="2"/>
        </w:numPr>
      </w:pPr>
      <w:r>
        <w:t>Во-вторых</w:t>
      </w:r>
      <w:r w:rsidR="00237404">
        <w:t xml:space="preserve"> —</w:t>
      </w:r>
      <w:r>
        <w:t xml:space="preserve"> с появлением</w:t>
      </w:r>
      <w:r w:rsidR="003A6F12">
        <w:t xml:space="preserve"> «Театр</w:t>
      </w:r>
      <w:r>
        <w:t>ов</w:t>
      </w:r>
      <w:r w:rsidR="003A6F12">
        <w:t xml:space="preserve"> машин». Когда в одном пространстве такого «Театра» помещаются разные </w:t>
      </w:r>
      <w:r w:rsidR="003A6F12" w:rsidRPr="0011033B">
        <w:rPr>
          <w:b/>
          <w:i/>
        </w:rPr>
        <w:t>машины</w:t>
      </w:r>
      <w:r w:rsidR="003A6F12">
        <w:t xml:space="preserve">, содержащие один и тот же </w:t>
      </w:r>
      <w:r w:rsidR="003A6F12" w:rsidRPr="0011033B">
        <w:rPr>
          <w:b/>
          <w:i/>
        </w:rPr>
        <w:t>механизм</w:t>
      </w:r>
      <w:r w:rsidR="003A6F12">
        <w:t xml:space="preserve"> (например, кулачковый), он выделяется как </w:t>
      </w:r>
      <w:r w:rsidR="003A6F12" w:rsidRPr="0011033B">
        <w:rPr>
          <w:b/>
          <w:i/>
        </w:rPr>
        <w:t>функциональный узел</w:t>
      </w:r>
      <w:r w:rsidR="003A6F12">
        <w:t>. Это еще не «Детали машин», которые позже преподавались в технических вузах, но шаг к классификации типовых механизмов, который дает возможность комбинировать из них «все</w:t>
      </w:r>
      <w:r w:rsidR="0011033B">
        <w:t>–</w:t>
      </w:r>
      <w:r w:rsidR="003A6F12">
        <w:t xml:space="preserve">возможные» устройства. Здесь тоже важен технический рисунок, но той частью, где (как у Агриколы) появляются условные (буквенные) обозначения отдельных узлов с подписями под рисунком. </w:t>
      </w:r>
    </w:p>
    <w:p w:rsidR="003A6F12" w:rsidRDefault="00914261" w:rsidP="00050F32">
      <w:pPr>
        <w:ind w:left="708"/>
      </w:pPr>
      <w:r>
        <w:t>Э</w:t>
      </w:r>
      <w:r w:rsidR="00050F32">
        <w:t>т</w:t>
      </w:r>
      <w:r>
        <w:t>а</w:t>
      </w:r>
      <w:r w:rsidR="00050F32">
        <w:t xml:space="preserve"> </w:t>
      </w:r>
      <w:r w:rsidR="003A6F12">
        <w:t>лини</w:t>
      </w:r>
      <w:r>
        <w:t xml:space="preserve">я привела к </w:t>
      </w:r>
      <w:r w:rsidR="00972C41">
        <w:t>появлению множества конструкций</w:t>
      </w:r>
      <w:r>
        <w:t xml:space="preserve"> полезных, а чаще — бесполезных или невозможных машин. Но она же открывает перспективу</w:t>
      </w:r>
      <w:r w:rsidR="003A6F12">
        <w:t xml:space="preserve"> расчет</w:t>
      </w:r>
      <w:r>
        <w:t>а</w:t>
      </w:r>
      <w:r w:rsidR="003A6F12">
        <w:t xml:space="preserve">, поскольку помещает технический объект в </w:t>
      </w:r>
      <w:r w:rsidR="000D04BB" w:rsidRPr="000D04BB">
        <w:rPr>
          <w:b/>
          <w:i/>
        </w:rPr>
        <w:t xml:space="preserve">формальное </w:t>
      </w:r>
      <w:r w:rsidR="003A6F12" w:rsidRPr="000D04BB">
        <w:rPr>
          <w:b/>
          <w:i/>
        </w:rPr>
        <w:t>геометрическое пространство</w:t>
      </w:r>
      <w:r>
        <w:t xml:space="preserve"> (</w:t>
      </w:r>
      <w:r w:rsidR="000D04BB">
        <w:rPr>
          <w:lang w:val="en-US"/>
        </w:rPr>
        <w:t>a</w:t>
      </w:r>
      <w:r>
        <w:t>) и</w:t>
      </w:r>
      <w:r w:rsidR="003A6F12">
        <w:t xml:space="preserve"> </w:t>
      </w:r>
      <w:r>
        <w:t>позволяет</w:t>
      </w:r>
      <w:r w:rsidR="003A6F12">
        <w:t xml:space="preserve"> рассчитыва</w:t>
      </w:r>
      <w:r>
        <w:t>ть</w:t>
      </w:r>
      <w:r w:rsidR="003A6F12">
        <w:t xml:space="preserve"> </w:t>
      </w:r>
      <w:r w:rsidRPr="000D04BB">
        <w:rPr>
          <w:b/>
          <w:i/>
        </w:rPr>
        <w:t>отдельные</w:t>
      </w:r>
      <w:r w:rsidR="003A6F12" w:rsidRPr="000D04BB">
        <w:rPr>
          <w:b/>
          <w:i/>
        </w:rPr>
        <w:t xml:space="preserve"> узл</w:t>
      </w:r>
      <w:r w:rsidRPr="000D04BB">
        <w:rPr>
          <w:b/>
          <w:i/>
        </w:rPr>
        <w:t>ы</w:t>
      </w:r>
      <w:r w:rsidR="000D04BB">
        <w:t xml:space="preserve"> (</w:t>
      </w:r>
      <w:r w:rsidR="000D04BB">
        <w:rPr>
          <w:lang w:val="en-US"/>
        </w:rPr>
        <w:t>b</w:t>
      </w:r>
      <w:r w:rsidR="000D04BB" w:rsidRPr="000D04BB">
        <w:t>)</w:t>
      </w:r>
      <w:r w:rsidR="003A6F12">
        <w:t xml:space="preserve">, сопрягая расчеты по контрольным пунктам. </w:t>
      </w:r>
    </w:p>
    <w:p w:rsidR="00A83E3F" w:rsidRDefault="00A83E3F" w:rsidP="00A83E3F">
      <w:pPr>
        <w:pStyle w:val="a"/>
        <w:numPr>
          <w:ilvl w:val="0"/>
          <w:numId w:val="2"/>
        </w:numPr>
      </w:pPr>
      <w:r w:rsidRPr="004A2940">
        <w:rPr>
          <w:b/>
        </w:rPr>
        <w:t>Вторая линия</w:t>
      </w:r>
      <w:r>
        <w:t xml:space="preserve"> </w:t>
      </w:r>
      <w:r w:rsidR="00EF6D81">
        <w:t xml:space="preserve">с самого начала складывалась на обочине средневековых институтов. Она </w:t>
      </w:r>
      <w:r>
        <w:t xml:space="preserve">связана с переходом от плаваний во внутренних морях и каботажных плаваний, к океаническим, и от портулана — к картам с сеткой широт и долгот. Первое позволяло лишь ненадолго терять из вида берег, ориентируясь относительно </w:t>
      </w:r>
      <w:r w:rsidRPr="00A83E3F">
        <w:rPr>
          <w:b/>
          <w:i/>
        </w:rPr>
        <w:t>мест</w:t>
      </w:r>
      <w:r>
        <w:t xml:space="preserve">. Там, где берег приходилось ненадолго оставлять (обычно, не более, чем на день), руководствовались т.н. портуланом (картой, на которой отмечены все места и все направления между ними) </w:t>
      </w:r>
      <w:r w:rsidR="000D04BB">
        <w:t xml:space="preserve">и компасом. </w:t>
      </w:r>
      <w:r>
        <w:t xml:space="preserve">В любом случае движение шло от </w:t>
      </w:r>
      <w:r w:rsidRPr="00A83E3F">
        <w:rPr>
          <w:b/>
          <w:i/>
        </w:rPr>
        <w:t>места к месту</w:t>
      </w:r>
      <w:r>
        <w:t>. В открытом океане такой способ невозможен. В какой-то момент пришлось «натянуть» на глобус координатную сетку, в которой корабль двигался не от места к месту, а от точки к точке.</w:t>
      </w:r>
      <w:r w:rsidR="00050F32">
        <w:t xml:space="preserve"> Это было оборачивание астрономического метода описания </w:t>
      </w:r>
      <w:r w:rsidR="00050F32">
        <w:lastRenderedPageBreak/>
        <w:t>естественных «надлунных» движений в метод технической организации «подлунных» движений</w:t>
      </w:r>
      <w:r w:rsidR="004A2940">
        <w:rPr>
          <w:rStyle w:val="a6"/>
        </w:rPr>
        <w:footnoteReference w:id="1"/>
      </w:r>
      <w:r w:rsidR="00050F32">
        <w:t>.</w:t>
      </w:r>
    </w:p>
    <w:p w:rsidR="003A6F12" w:rsidRDefault="00496EB2" w:rsidP="003A6F12">
      <w:pPr>
        <w:pStyle w:val="a"/>
        <w:numPr>
          <w:ilvl w:val="0"/>
          <w:numId w:val="2"/>
        </w:numPr>
      </w:pPr>
      <w:r w:rsidRPr="004A2940">
        <w:rPr>
          <w:b/>
        </w:rPr>
        <w:t xml:space="preserve">Третья </w:t>
      </w:r>
      <w:r w:rsidR="003A6F12" w:rsidRPr="004A2940">
        <w:rPr>
          <w:b/>
        </w:rPr>
        <w:t>лини</w:t>
      </w:r>
      <w:r w:rsidRPr="004A2940">
        <w:rPr>
          <w:b/>
        </w:rPr>
        <w:t>я</w:t>
      </w:r>
      <w:r>
        <w:t xml:space="preserve"> примыкает к ученым занятиям, институционализированным в университеты. Ее</w:t>
      </w:r>
      <w:r w:rsidR="003A6F12">
        <w:t xml:space="preserve"> подробно рассматривает В.М. Розин на случае с галилеевской механикой. </w:t>
      </w:r>
      <w:r>
        <w:t>Галилей математизирует (в частности, геометризует) природу и рассматривать математическую модель, как идеальный объект. На стыке появляется модель, которую можно истолковывать и на природу, и на технический объект. Я бы добавил, что п</w:t>
      </w:r>
      <w:r w:rsidR="003A6F12">
        <w:t xml:space="preserve">ервые две линии уже предуготовили геометризацию отдельного простого механизма. Более того, Леонардо да Винчи уже пытался рассматривать ту же задачу с другой стороны, когда, тщательно вымеряя углы, строил из дерева наклонную плоскость и полировал канавку, чтобы минимизировать  трение. Он пытался «идеализировать» наклонную плоскость со стороны возможностей технического искусства. </w:t>
      </w:r>
    </w:p>
    <w:p w:rsidR="001721D6" w:rsidRDefault="00E045A0" w:rsidP="001721D6">
      <w:r>
        <w:t>Все эти линии разворачивались в своеобразном институциональном контексте.</w:t>
      </w:r>
      <w:r w:rsidR="001721D6" w:rsidRPr="001721D6">
        <w:t xml:space="preserve"> </w:t>
      </w:r>
    </w:p>
    <w:p w:rsidR="001721D6" w:rsidRDefault="00EF6D81" w:rsidP="001721D6">
      <w:r>
        <w:t>К</w:t>
      </w:r>
      <w:r w:rsidR="001721D6">
        <w:t xml:space="preserve"> </w:t>
      </w:r>
      <w:r>
        <w:t>началу</w:t>
      </w:r>
      <w:r w:rsidR="001721D6">
        <w:t xml:space="preserve"> Возрождения средневековые институты ученых занятий и ремесел пережива</w:t>
      </w:r>
      <w:r w:rsidR="003B1EDB">
        <w:t>ют</w:t>
      </w:r>
      <w:r w:rsidR="001721D6">
        <w:t xml:space="preserve"> масштабный кризис, связанный с</w:t>
      </w:r>
      <w:r w:rsidR="003B1EDB">
        <w:t>о</w:t>
      </w:r>
      <w:r w:rsidR="001721D6">
        <w:t xml:space="preserve"> сменой </w:t>
      </w:r>
      <w:r w:rsidR="001721D6" w:rsidRPr="003B1EDB">
        <w:rPr>
          <w:b/>
          <w:i/>
        </w:rPr>
        <w:t>институционального каркаса</w:t>
      </w:r>
      <w:r w:rsidR="001721D6">
        <w:t xml:space="preserve">. </w:t>
      </w:r>
      <w:r w:rsidR="003B1EDB">
        <w:t xml:space="preserve">В частности, если в Средние века узлами этого каркаса были города, то теперь их роль переходит к становящимся национальным государствам. Если раньше гегемонами были города участвующие в левантийской и ганзейской торговле и лежащие на сухопутных и речных маршрутах обменов между севером и югом, то теперь роль гегемонов переходит к странам, лежащим на атлантическом побережье, </w:t>
      </w:r>
      <w:r w:rsidR="00432144">
        <w:t xml:space="preserve">и </w:t>
      </w:r>
      <w:r w:rsidR="003B1EDB">
        <w:t xml:space="preserve">участвующим в </w:t>
      </w:r>
      <w:r w:rsidR="00432144">
        <w:t>колониальных обменах</w:t>
      </w:r>
      <w:r w:rsidR="0089417C">
        <w:rPr>
          <w:rStyle w:val="a6"/>
        </w:rPr>
        <w:footnoteReference w:id="2"/>
      </w:r>
      <w:r w:rsidR="00432144">
        <w:t>. Старые институты теряют смысл и пытаются сохраниться, а новые еще не сложились и пока угадываются в зародышевых формах кружков и движений.</w:t>
      </w:r>
    </w:p>
    <w:p w:rsidR="005308F3" w:rsidRDefault="00D34C39" w:rsidP="005308F3">
      <w:r>
        <w:t>Возвращаясь</w:t>
      </w:r>
      <w:r w:rsidR="00432144">
        <w:t xml:space="preserve"> к трем линиям складывания инженерии, можно заметить, что:</w:t>
      </w:r>
    </w:p>
    <w:p w:rsidR="00E045A0" w:rsidRDefault="00E045A0" w:rsidP="00E045A0">
      <w:pPr>
        <w:pStyle w:val="a"/>
        <w:numPr>
          <w:ilvl w:val="0"/>
          <w:numId w:val="3"/>
        </w:numPr>
      </w:pPr>
      <w:r>
        <w:t>Во-первых, все фигуры, участвующие в этой пьесе, либо не входят в какие-либо институты, либо занимают в них маргинальное положение</w:t>
      </w:r>
    </w:p>
    <w:p w:rsidR="00E045A0" w:rsidRDefault="00E045A0" w:rsidP="00E045A0">
      <w:pPr>
        <w:pStyle w:val="a"/>
        <w:numPr>
          <w:ilvl w:val="0"/>
          <w:numId w:val="3"/>
        </w:numPr>
      </w:pPr>
      <w:r>
        <w:t xml:space="preserve">Во-вторых, </w:t>
      </w:r>
      <w:r w:rsidR="00496EB2">
        <w:t xml:space="preserve">все </w:t>
      </w:r>
      <w:r w:rsidR="00FE02F8">
        <w:t>области</w:t>
      </w:r>
      <w:r>
        <w:t xml:space="preserve"> деятельност</w:t>
      </w:r>
      <w:r w:rsidR="00FE02F8">
        <w:t>и</w:t>
      </w:r>
      <w:r>
        <w:t>, в котор</w:t>
      </w:r>
      <w:r w:rsidR="00D34C39">
        <w:t>ых</w:t>
      </w:r>
      <w:r>
        <w:t xml:space="preserve"> берут начало эти линии</w:t>
      </w:r>
      <w:r w:rsidR="00FE02F8">
        <w:t>, тоже либо неинституционализированы, либо маргинальны для соответствующих институтов (по преимуществу, это горно</w:t>
      </w:r>
      <w:r w:rsidR="00767722">
        <w:t>-металлургическое</w:t>
      </w:r>
      <w:r w:rsidR="00FE02F8">
        <w:t>, морское и военное дело, которые оказались вне контроля цехов и университетов и стали прерогативой государей)</w:t>
      </w:r>
    </w:p>
    <w:p w:rsidR="00FE02F8" w:rsidRDefault="00FE02F8" w:rsidP="00E045A0">
      <w:pPr>
        <w:pStyle w:val="a"/>
        <w:numPr>
          <w:ilvl w:val="0"/>
          <w:numId w:val="3"/>
        </w:numPr>
      </w:pPr>
      <w:r>
        <w:t>Наконец, территории, на которых разворачива</w:t>
      </w:r>
      <w:r w:rsidR="00432144">
        <w:t>ются</w:t>
      </w:r>
      <w:r>
        <w:t xml:space="preserve"> эти линии, это территории мелких итальянских и немецких государств, которые только что утратили гегемонию, но пока еще достаточно богаты. Т.е. это маргинальные территории</w:t>
      </w:r>
    </w:p>
    <w:p w:rsidR="00432144" w:rsidRDefault="00432144" w:rsidP="00432144">
      <w:pPr>
        <w:pStyle w:val="a"/>
        <w:numPr>
          <w:ilvl w:val="0"/>
          <w:numId w:val="3"/>
        </w:numPr>
      </w:pPr>
      <w:r>
        <w:t>Важно заметить, что математика в ученых занятиях Средних веков тоже рассматривалась, как маргинальная дисциплина, которая может быть полезна, но не приводит к истине.</w:t>
      </w:r>
    </w:p>
    <w:p w:rsidR="002A6B3C" w:rsidRDefault="00BC77DB" w:rsidP="00767722">
      <w:r>
        <w:t xml:space="preserve">Пока Европа сохраняла свой средневековый институциональный каркас, ученые занятия и ремесла оставались в своих границах и обмены между ними были нормированы. В частности, в ученых занятиях был нормирован </w:t>
      </w:r>
      <w:r w:rsidR="00013011">
        <w:t xml:space="preserve">аристотелианский </w:t>
      </w:r>
      <w:r>
        <w:t>запрет на метабасис</w:t>
      </w:r>
      <w:r w:rsidR="00AF0648">
        <w:rPr>
          <w:rStyle w:val="a6"/>
        </w:rPr>
        <w:footnoteReference w:id="3"/>
      </w:r>
      <w:r>
        <w:t xml:space="preserve">. </w:t>
      </w:r>
      <w:r w:rsidR="008307C4">
        <w:lastRenderedPageBreak/>
        <w:t xml:space="preserve">Знания, полученные через </w:t>
      </w:r>
      <w:r w:rsidR="00332ABC">
        <w:t>смешение в одном рассуждении объектов разного рода (например, астрономических и математических)</w:t>
      </w:r>
      <w:r w:rsidR="008307C4">
        <w:t>, считались сомнительными</w:t>
      </w:r>
      <w:r w:rsidR="002A6B3C">
        <w:t>.</w:t>
      </w:r>
      <w:r w:rsidR="00332ABC">
        <w:t xml:space="preserve"> </w:t>
      </w:r>
    </w:p>
    <w:p w:rsidR="00BC77DB" w:rsidRDefault="008307C4" w:rsidP="00767722">
      <w:r>
        <w:t>В цехах действовал подобный институциональный запрет на «метабасис» между ремеслами</w:t>
      </w:r>
      <w:r w:rsidR="002A6B3C">
        <w:t xml:space="preserve"> — цеховые уставы запрещали одновременное занятие двумя ремеслами, использование инструментов одного ремесла в другом и т.д</w:t>
      </w:r>
      <w:r>
        <w:t>.</w:t>
      </w:r>
    </w:p>
    <w:p w:rsidR="00432144" w:rsidRDefault="008307C4" w:rsidP="008307C4">
      <w:r>
        <w:t xml:space="preserve">Институциональный кризис привел к появлению деинституционализированных и к открытию неинституционализированных зон (в частности, колоний), где этот запрет мог нарушаться. При этом </w:t>
      </w:r>
      <w:r w:rsidR="00767722">
        <w:t xml:space="preserve">старые институты (цеха и университеты) </w:t>
      </w:r>
      <w:r>
        <w:t xml:space="preserve">оказывались </w:t>
      </w:r>
      <w:r w:rsidR="00767722">
        <w:t>источник</w:t>
      </w:r>
      <w:r>
        <w:t>ами</w:t>
      </w:r>
      <w:r w:rsidR="00767722">
        <w:t xml:space="preserve"> </w:t>
      </w:r>
      <w:r>
        <w:t>поначалу</w:t>
      </w:r>
      <w:r w:rsidR="00767722">
        <w:t xml:space="preserve"> маргинальны</w:t>
      </w:r>
      <w:r w:rsidR="002F08CB">
        <w:t>х</w:t>
      </w:r>
      <w:r w:rsidR="00767722">
        <w:t xml:space="preserve"> организованност</w:t>
      </w:r>
      <w:r>
        <w:t>ей</w:t>
      </w:r>
      <w:r w:rsidR="00767722">
        <w:t>, которые за</w:t>
      </w:r>
      <w:r w:rsidR="0064239A">
        <w:t>тем вступали в своего рода игры, образуя различные институционально недопустимые комбинации — новые (в т.ч. нелепые) машины, новые (в т.ч. нелепые) формы мысли и т.д.</w:t>
      </w:r>
      <w:r w:rsidR="00D34C39">
        <w:rPr>
          <w:rStyle w:val="a6"/>
        </w:rPr>
        <w:footnoteReference w:id="4"/>
      </w:r>
    </w:p>
    <w:p w:rsidR="00C84959" w:rsidRDefault="0064239A" w:rsidP="008307C4">
      <w:r>
        <w:t xml:space="preserve">В рефлексии этих игр, в критике одних и в культивировании других из складывающихся таким образом форм и становилось инженерное мышление. Причем, оно с самого начала складывалось, </w:t>
      </w:r>
      <w:r w:rsidR="00C84959">
        <w:t xml:space="preserve">и дальше эволюционировало </w:t>
      </w:r>
      <w:r>
        <w:t>как основанное на межинституциональном метабасисе</w:t>
      </w:r>
      <w:r w:rsidR="00D57D4F">
        <w:rPr>
          <w:rStyle w:val="a6"/>
        </w:rPr>
        <w:footnoteReference w:id="5"/>
      </w:r>
      <w:r w:rsidR="00C84959">
        <w:t xml:space="preserve"> и на поддержании одновременно нескольких рамок</w:t>
      </w:r>
      <w:r>
        <w:t xml:space="preserve">. </w:t>
      </w:r>
      <w:r w:rsidR="00C84959">
        <w:t xml:space="preserve">Прежде всего — рамки исследования, когда все процессы рассматриваются как естественные процессы в искусственных условиях, и рамки </w:t>
      </w:r>
      <w:r w:rsidR="00ED233B">
        <w:t>технического действия, когда все процессы рассматриваются как искусственно-технические в естественных условиях. Все дальнейшие фазы эволюции инженерии могут рассматриваться как вариации наполнения этих рамок.</w:t>
      </w:r>
    </w:p>
    <w:p w:rsidR="00ED233B" w:rsidRDefault="00ED233B" w:rsidP="008307C4">
      <w:r>
        <w:t>Кроме того, культивировался и метабасис между различными исследовательскими и техническими дисциплинами.</w:t>
      </w:r>
    </w:p>
    <w:p w:rsidR="00B54B80" w:rsidRDefault="002A6B3C" w:rsidP="008307C4">
      <w:r>
        <w:t>Институционализация инженерного мышления</w:t>
      </w:r>
      <w:r w:rsidR="000B17B3">
        <w:t xml:space="preserve">, была </w:t>
      </w:r>
      <w:r w:rsidR="00B54B80">
        <w:t xml:space="preserve">намечена </w:t>
      </w:r>
      <w:r w:rsidR="000B17B3">
        <w:t>на</w:t>
      </w:r>
      <w:r w:rsidR="00B54B80">
        <w:t>чавшимися</w:t>
      </w:r>
      <w:r w:rsidR="000B17B3">
        <w:t xml:space="preserve"> </w:t>
      </w:r>
      <w:r w:rsidR="00A965CE">
        <w:t xml:space="preserve">в </w:t>
      </w:r>
      <w:r w:rsidR="00B54B80">
        <w:t xml:space="preserve">ходе институционального слома </w:t>
      </w:r>
      <w:r w:rsidR="000B17B3">
        <w:t>движени</w:t>
      </w:r>
      <w:r w:rsidR="001C2990">
        <w:t>ями</w:t>
      </w:r>
      <w:r w:rsidR="00A965CE">
        <w:t xml:space="preserve"> гуманистов</w:t>
      </w:r>
      <w:r w:rsidR="00B54B80">
        <w:t xml:space="preserve"> </w:t>
      </w:r>
      <w:r w:rsidR="001C2990">
        <w:t>(</w:t>
      </w:r>
      <w:r w:rsidR="00B54B80">
        <w:t xml:space="preserve">оформлявшимся в </w:t>
      </w:r>
      <w:r w:rsidR="00000A67">
        <w:t xml:space="preserve">протоинституциональный </w:t>
      </w:r>
      <w:r w:rsidR="001C2990">
        <w:t>порядок</w:t>
      </w:r>
      <w:r w:rsidR="00B54B80">
        <w:t xml:space="preserve"> кружк</w:t>
      </w:r>
      <w:r w:rsidR="001C2990">
        <w:t>а</w:t>
      </w:r>
      <w:r w:rsidR="00B54B80">
        <w:t xml:space="preserve"> и</w:t>
      </w:r>
      <w:r w:rsidR="001C2990">
        <w:t>ли</w:t>
      </w:r>
      <w:r w:rsidR="00B54B80">
        <w:t xml:space="preserve"> «незрим</w:t>
      </w:r>
      <w:r w:rsidR="001C2990">
        <w:t>ого</w:t>
      </w:r>
      <w:r w:rsidR="00B54B80">
        <w:t xml:space="preserve"> колледж</w:t>
      </w:r>
      <w:r w:rsidR="001C2990">
        <w:t>а</w:t>
      </w:r>
      <w:r w:rsidR="00B54B80">
        <w:t>»</w:t>
      </w:r>
      <w:r w:rsidR="009265DB">
        <w:t xml:space="preserve"> и культивируюшем созерцательный мистицизм неоплатоновского или герметического толка</w:t>
      </w:r>
      <w:r w:rsidR="001C2990">
        <w:t>)</w:t>
      </w:r>
      <w:r w:rsidR="00B54B80">
        <w:t>, и авантюристов</w:t>
      </w:r>
      <w:r w:rsidR="001C2990">
        <w:rPr>
          <w:rStyle w:val="a6"/>
        </w:rPr>
        <w:footnoteReference w:id="6"/>
      </w:r>
      <w:r w:rsidR="00B54B80">
        <w:t xml:space="preserve">, </w:t>
      </w:r>
      <w:r w:rsidR="001C2990">
        <w:t>(оформлявшегося в порядок экспедиции или компании</w:t>
      </w:r>
      <w:r w:rsidR="009265DB">
        <w:t>, культивирующих деятельный, агонический мистицизм</w:t>
      </w:r>
      <w:r w:rsidR="001C2990">
        <w:t>)</w:t>
      </w:r>
      <w:r w:rsidR="001C2990">
        <w:rPr>
          <w:rStyle w:val="a6"/>
        </w:rPr>
        <w:footnoteReference w:id="7"/>
      </w:r>
      <w:r w:rsidR="000B17B3">
        <w:t xml:space="preserve">. </w:t>
      </w:r>
    </w:p>
    <w:p w:rsidR="00B54B80" w:rsidRDefault="00A62871" w:rsidP="008307C4">
      <w:r>
        <w:lastRenderedPageBreak/>
        <w:t xml:space="preserve">Я пока не готов обсуждать детали механизма институционализации, но </w:t>
      </w:r>
      <w:r w:rsidR="009265DB">
        <w:t xml:space="preserve">в некоторых случаях </w:t>
      </w:r>
      <w:r w:rsidR="004B6AE6">
        <w:t>несомненна преемственность</w:t>
      </w:r>
      <w:r w:rsidR="009265DB">
        <w:t xml:space="preserve"> между </w:t>
      </w:r>
      <w:r w:rsidR="004B6AE6">
        <w:t xml:space="preserve">протоинститутами и институтами. Кружки Бойля и Мерсенна были фактически переименованы в Королевское общество и Парижскую Королевскую Академию наук. Похоже, что </w:t>
      </w:r>
      <w:r>
        <w:t xml:space="preserve">во всех институтах Нового времени можно обнаружить </w:t>
      </w:r>
      <w:r w:rsidR="00000A67">
        <w:t xml:space="preserve">по-разному сплетенные </w:t>
      </w:r>
      <w:r>
        <w:t xml:space="preserve">мотивы </w:t>
      </w:r>
      <w:r w:rsidR="00000A67">
        <w:t>порядков, характерных для обоих движений. Так, само слово открытие проникает в науку именно в Эпоху Великих географических открытий</w:t>
      </w:r>
      <w:r w:rsidR="00000A67">
        <w:rPr>
          <w:rStyle w:val="a6"/>
        </w:rPr>
        <w:footnoteReference w:id="8"/>
      </w:r>
      <w:r w:rsidR="009265DB">
        <w:t xml:space="preserve">. </w:t>
      </w:r>
    </w:p>
    <w:p w:rsidR="004B6AE6" w:rsidRDefault="004B6AE6" w:rsidP="008307C4">
      <w:r>
        <w:t>Снова вернувшись к трем линиям разворачивания инженерного мышления, мы можем обнаружить, что поначалу все они обнаруживаются в, казалось бы, научных институтах (Академиа дел Чименто, Королевское общество</w:t>
      </w:r>
      <w:r w:rsidR="00667D67">
        <w:t>, Парижская Академия наук), причем сохраняют и исследовательскую, и техническую рамки. Одновременно они обнаруживаются в создающихся в это же время военноморских и военно-инженерных частях и государственных горно-металлургических предприятиях и в соответствующих морских, военно-инженерных, и государственных горных и горнометаллургических школах. Причем одни и те же персоны могут участвовать</w:t>
      </w:r>
      <w:r w:rsidR="00042627">
        <w:t xml:space="preserve"> в деятельности и научных, и технических институций (И. Ньютон состоит в Королевском обществе и руководит Королевским монетным двором, Г. Монж преподает в в</w:t>
      </w:r>
      <w:r w:rsidR="0097239E">
        <w:t>оенно-инженерной школе Мезьера,</w:t>
      </w:r>
      <w:r w:rsidR="00042627">
        <w:t xml:space="preserve"> состоит в Парижской Академии Наук</w:t>
      </w:r>
      <w:r w:rsidR="0097239E">
        <w:t>, а после революции организует производство пороха и пушек и преподает в Политехнической школе</w:t>
      </w:r>
      <w:r w:rsidR="00042627">
        <w:t>)</w:t>
      </w:r>
      <w:r w:rsidR="0097239E">
        <w:t>.</w:t>
      </w:r>
    </w:p>
    <w:p w:rsidR="0097239E" w:rsidRDefault="0097239E" w:rsidP="008307C4">
      <w:r>
        <w:t>Точно так же переплетаются эпистемические структуры исследования и технического искусства. В.М. Розин обсуждал двойственный эпистемический статус модели, но такой же статус имеют физические эффекты, сама экспериментальная установка, которая к тому же часто превращается в технический инструмент.</w:t>
      </w:r>
    </w:p>
    <w:p w:rsidR="00EF6D81" w:rsidRDefault="0097239E" w:rsidP="008307C4">
      <w:r>
        <w:t>Пока бездоказательно, но я бы предположил, что</w:t>
      </w:r>
      <w:r w:rsidR="00ED233B">
        <w:t xml:space="preserve"> инженерное мышление по принципу межин</w:t>
      </w:r>
      <w:r w:rsidR="002F08CB">
        <w:t>с</w:t>
      </w:r>
      <w:bookmarkStart w:id="0" w:name="_GoBack"/>
      <w:bookmarkEnd w:id="0"/>
      <w:r w:rsidR="00ED233B">
        <w:t xml:space="preserve">титуционально, что научные и «инженерные» институты культивируют не научное и </w:t>
      </w:r>
      <w:r w:rsidR="00EF6D81">
        <w:t xml:space="preserve">не </w:t>
      </w:r>
      <w:r w:rsidR="00ED233B">
        <w:t>инженерное мышление, а частные редукции инженерного мышления «поставляя» организованности для эпистемических игр в межинституциональные зоны.</w:t>
      </w:r>
      <w:r w:rsidR="00EF6D81">
        <w:t xml:space="preserve"> </w:t>
      </w:r>
    </w:p>
    <w:p w:rsidR="00EF6D81" w:rsidRDefault="00EF6D81" w:rsidP="008307C4">
      <w:r>
        <w:t>Разные варианты таких игр дадут нам фундаментальные, прикладные исследования, конструирование, проектирование, прогнозирование и т.д.</w:t>
      </w:r>
      <w:r w:rsidR="00EC47D4">
        <w:t xml:space="preserve"> Все эти варианты межинституциональны, и все их я </w:t>
      </w:r>
      <w:r w:rsidR="0097239E">
        <w:t xml:space="preserve">рискую </w:t>
      </w:r>
      <w:r w:rsidR="00EC47D4">
        <w:t>отн</w:t>
      </w:r>
      <w:r w:rsidR="0097239E">
        <w:t>ести</w:t>
      </w:r>
      <w:r w:rsidR="00EC47D4">
        <w:t xml:space="preserve"> к инженерному мышлению.</w:t>
      </w:r>
    </w:p>
    <w:sectPr w:rsidR="00EF6D81" w:rsidSect="0098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DD" w:rsidRDefault="005150DD" w:rsidP="00AF0648">
      <w:pPr>
        <w:spacing w:after="0"/>
      </w:pPr>
      <w:r>
        <w:separator/>
      </w:r>
    </w:p>
  </w:endnote>
  <w:endnote w:type="continuationSeparator" w:id="0">
    <w:p w:rsidR="005150DD" w:rsidRDefault="005150DD" w:rsidP="00AF06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DD" w:rsidRDefault="005150DD" w:rsidP="00AF0648">
      <w:pPr>
        <w:spacing w:after="0"/>
      </w:pPr>
      <w:r>
        <w:separator/>
      </w:r>
    </w:p>
  </w:footnote>
  <w:footnote w:type="continuationSeparator" w:id="0">
    <w:p w:rsidR="005150DD" w:rsidRDefault="005150DD" w:rsidP="00AF0648">
      <w:pPr>
        <w:spacing w:after="0"/>
      </w:pPr>
      <w:r>
        <w:continuationSeparator/>
      </w:r>
    </w:p>
  </w:footnote>
  <w:footnote w:id="1">
    <w:p w:rsidR="004A2940" w:rsidRDefault="004A2940">
      <w:pPr>
        <w:pStyle w:val="a4"/>
      </w:pPr>
      <w:r>
        <w:rPr>
          <w:rStyle w:val="a6"/>
        </w:rPr>
        <w:footnoteRef/>
      </w:r>
      <w:r>
        <w:t xml:space="preserve"> А так же, в решение задач, подобных разделу мира между Португалией и Испанией на две равные части по меридиану Азорских островов (Тордесильясский договор 1494 г.). </w:t>
      </w:r>
    </w:p>
  </w:footnote>
  <w:footnote w:id="2">
    <w:p w:rsidR="0089417C" w:rsidRDefault="0089417C">
      <w:pPr>
        <w:pStyle w:val="a4"/>
      </w:pPr>
      <w:r>
        <w:rPr>
          <w:rStyle w:val="a6"/>
        </w:rPr>
        <w:footnoteRef/>
      </w:r>
      <w:r>
        <w:t xml:space="preserve"> Здесь важно не то, что отдельные города утрачивают статус гегемонов, а что города </w:t>
      </w:r>
      <w:r w:rsidR="00D34C39">
        <w:t>и, соответственно, базирующиеся на городской сети институты, утрачивают статус участников обменов, уступая его национальным государствам.</w:t>
      </w:r>
    </w:p>
  </w:footnote>
  <w:footnote w:id="3">
    <w:p w:rsidR="00AF0648" w:rsidRDefault="00AF0648">
      <w:pPr>
        <w:pStyle w:val="a4"/>
      </w:pPr>
      <w:r>
        <w:rPr>
          <w:rStyle w:val="a6"/>
        </w:rPr>
        <w:footnoteRef/>
      </w:r>
      <w:r>
        <w:t xml:space="preserve"> </w:t>
      </w:r>
      <w:r w:rsidR="00013011">
        <w:t>«</w:t>
      </w:r>
      <w:r w:rsidR="002A6B3C">
        <w:t>К</w:t>
      </w:r>
      <w:r w:rsidR="00013011" w:rsidRPr="00013011">
        <w:t>аждая область знания должна строиться на собственных, единых и истинных началах, которые лежат в основании дедуктивных выводов. Кроме того, первоначала каждой области знания должны быть того же рода, что и объекты этой области, ибо только тогда можно реализовать дедуктивный вывод. Очевидно, что, к примеру, астрономия и оптика нарушают это требование однородности экспланаса и экспланандума теории (и, соответственно, нарушают аристотелев запрет на метабасис) именно потому, что строят свои объяснения и выводы, опираясь на чистую математику</w:t>
      </w:r>
      <w:r w:rsidR="00013011">
        <w:t>» (Дмитриев И.С. Увещание Галилея. СПб.: Изд. «Нестор-История», 2006, стр. 34)</w:t>
      </w:r>
      <w:r w:rsidR="00332ABC">
        <w:t xml:space="preserve">. </w:t>
      </w:r>
    </w:p>
  </w:footnote>
  <w:footnote w:id="4">
    <w:p w:rsidR="00D34C39" w:rsidRPr="000B17B3" w:rsidRDefault="00D34C39">
      <w:pPr>
        <w:pStyle w:val="a4"/>
      </w:pPr>
      <w:r>
        <w:rPr>
          <w:rStyle w:val="a6"/>
        </w:rPr>
        <w:footnoteRef/>
      </w:r>
      <w:r>
        <w:t xml:space="preserve"> К числу колониальных внеинституциональных игр можно отнести, например, иез</w:t>
      </w:r>
      <w:r w:rsidR="000B17B3">
        <w:t xml:space="preserve">уитский эксперимент в Парагвае или </w:t>
      </w:r>
      <w:r w:rsidR="000B17B3" w:rsidRPr="000B17B3">
        <w:t>эксперимент с монокультурным земледелием, которое в Европе стало возможным только через 2–3 столетия (после аграрных реформ XVIII–XIX века).</w:t>
      </w:r>
    </w:p>
  </w:footnote>
  <w:footnote w:id="5">
    <w:p w:rsidR="00D57D4F" w:rsidRDefault="00D57D4F">
      <w:pPr>
        <w:pStyle w:val="a4"/>
      </w:pPr>
      <w:r w:rsidRPr="000B17B3">
        <w:rPr>
          <w:rStyle w:val="a6"/>
        </w:rPr>
        <w:footnoteRef/>
      </w:r>
      <w:r w:rsidRPr="000B17B3">
        <w:t xml:space="preserve"> Здесь и далее я использую этот термин в расширительном смысле, имея </w:t>
      </w:r>
      <w:r>
        <w:t>в виду смешение организованностей</w:t>
      </w:r>
      <w:r w:rsidR="00FD0AB4">
        <w:t>, относящихся к институционально разным экземплярам деятельности и/или мышления</w:t>
      </w:r>
    </w:p>
  </w:footnote>
  <w:footnote w:id="6">
    <w:p w:rsidR="001C2990" w:rsidRPr="001C2990" w:rsidRDefault="001C2990" w:rsidP="001C2990">
      <w:pPr>
        <w:pStyle w:val="a4"/>
      </w:pPr>
      <w:r>
        <w:rPr>
          <w:rStyle w:val="a6"/>
        </w:rPr>
        <w:footnoteRef/>
      </w:r>
      <w:r>
        <w:t xml:space="preserve"> </w:t>
      </w:r>
      <w:r w:rsidR="00000A67">
        <w:t xml:space="preserve">Название мое. </w:t>
      </w:r>
      <w:r>
        <w:t>В XV–XVI</w:t>
      </w:r>
      <w:r>
        <w:rPr>
          <w:lang w:val="en-US"/>
        </w:rPr>
        <w:t>I</w:t>
      </w:r>
      <w:r w:rsidRPr="001C2990">
        <w:t xml:space="preserve"> веках </w:t>
      </w:r>
      <w:r>
        <w:t xml:space="preserve">авантюра еще не приобрела негативной коннотации и </w:t>
      </w:r>
      <w:r w:rsidR="00000A67">
        <w:t>понималась как рискованное</w:t>
      </w:r>
      <w:r w:rsidR="002F08CB">
        <w:t>,</w:t>
      </w:r>
      <w:r w:rsidR="00000A67">
        <w:t xml:space="preserve"> но захватывающее предприятие. О</w:t>
      </w:r>
      <w:r>
        <w:t xml:space="preserve">дна из первых </w:t>
      </w:r>
      <w:r w:rsidR="00000A67">
        <w:t xml:space="preserve">таких </w:t>
      </w:r>
      <w:r>
        <w:t xml:space="preserve">компаний называлась Компания королевских купцов–авантюристов. В числе задуманных </w:t>
      </w:r>
      <w:r w:rsidR="00000A67">
        <w:t>ею</w:t>
      </w:r>
      <w:r>
        <w:t xml:space="preserve"> авантюр был поиск Северо-Западного и Северо-Восточного проходов</w:t>
      </w:r>
      <w:r w:rsidR="00000A67">
        <w:t>, который закончился договором с Иваном Грозным и переименованием в Московскую компанию</w:t>
      </w:r>
      <w:r>
        <w:t>.</w:t>
      </w:r>
    </w:p>
  </w:footnote>
  <w:footnote w:id="7">
    <w:p w:rsidR="001C2990" w:rsidRPr="00A62871" w:rsidRDefault="001C2990">
      <w:pPr>
        <w:pStyle w:val="a4"/>
      </w:pPr>
      <w:r>
        <w:rPr>
          <w:rStyle w:val="a6"/>
        </w:rPr>
        <w:footnoteRef/>
      </w:r>
      <w:r>
        <w:t xml:space="preserve"> Оба движения были тесно связаны с королевскими или княжескими владетельными дворами</w:t>
      </w:r>
      <w:r w:rsidR="00A62871">
        <w:t xml:space="preserve">, которые выступали патронами гуманистов, а позже — virtuoso (выдающихся художников, медиков, математиков etc), кружков и ранних Академий, и покровителями авантюристов, авантюрных экспедиций и компаний, часто наделяя последние </w:t>
      </w:r>
      <w:r w:rsidR="009265DB">
        <w:t xml:space="preserve">правом </w:t>
      </w:r>
      <w:r w:rsidR="00A62871">
        <w:t>действовать именем государя или государства.</w:t>
      </w:r>
    </w:p>
  </w:footnote>
  <w:footnote w:id="8">
    <w:p w:rsidR="00000A67" w:rsidRDefault="00000A67">
      <w:pPr>
        <w:pStyle w:val="a4"/>
      </w:pPr>
      <w:r>
        <w:rPr>
          <w:rStyle w:val="a6"/>
        </w:rPr>
        <w:footnoteRef/>
      </w:r>
      <w:r>
        <w:t xml:space="preserve"> </w:t>
      </w:r>
      <w:r w:rsidR="009265DB">
        <w:t>Современники прямо называют открытие</w:t>
      </w:r>
      <w:r>
        <w:t xml:space="preserve"> </w:t>
      </w:r>
      <w:r w:rsidR="009265DB">
        <w:t>Коперником гелиоцентризма более важным, чем недавнее открытие Колумбом Нового Света.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6D98"/>
    <w:multiLevelType w:val="hybridMultilevel"/>
    <w:tmpl w:val="DA7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A3B"/>
    <w:multiLevelType w:val="hybridMultilevel"/>
    <w:tmpl w:val="08B0B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4CA7"/>
    <w:multiLevelType w:val="hybridMultilevel"/>
    <w:tmpl w:val="E5F8FA5A"/>
    <w:lvl w:ilvl="0" w:tplc="86086F0E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12"/>
    <w:rsid w:val="00000A67"/>
    <w:rsid w:val="00013011"/>
    <w:rsid w:val="00042627"/>
    <w:rsid w:val="00050F32"/>
    <w:rsid w:val="000B17B3"/>
    <w:rsid w:val="000C29B2"/>
    <w:rsid w:val="000D04BB"/>
    <w:rsid w:val="0011033B"/>
    <w:rsid w:val="001721D6"/>
    <w:rsid w:val="0017653C"/>
    <w:rsid w:val="00176CBE"/>
    <w:rsid w:val="001C2990"/>
    <w:rsid w:val="00237404"/>
    <w:rsid w:val="002A6B3C"/>
    <w:rsid w:val="002C2474"/>
    <w:rsid w:val="002D66BF"/>
    <w:rsid w:val="002E0093"/>
    <w:rsid w:val="002F08CB"/>
    <w:rsid w:val="00332ABC"/>
    <w:rsid w:val="003A6F12"/>
    <w:rsid w:val="003B1EDB"/>
    <w:rsid w:val="004137D7"/>
    <w:rsid w:val="00432144"/>
    <w:rsid w:val="0049269A"/>
    <w:rsid w:val="00496EB2"/>
    <w:rsid w:val="004A2940"/>
    <w:rsid w:val="004B6AE6"/>
    <w:rsid w:val="005150DD"/>
    <w:rsid w:val="005308F3"/>
    <w:rsid w:val="00534796"/>
    <w:rsid w:val="005F5ED6"/>
    <w:rsid w:val="00641484"/>
    <w:rsid w:val="0064239A"/>
    <w:rsid w:val="00652343"/>
    <w:rsid w:val="00666DC9"/>
    <w:rsid w:val="00667D67"/>
    <w:rsid w:val="00707D57"/>
    <w:rsid w:val="007411EC"/>
    <w:rsid w:val="00767722"/>
    <w:rsid w:val="008307C4"/>
    <w:rsid w:val="008655F7"/>
    <w:rsid w:val="0089417C"/>
    <w:rsid w:val="00914261"/>
    <w:rsid w:val="009265DB"/>
    <w:rsid w:val="00942EDC"/>
    <w:rsid w:val="0097239E"/>
    <w:rsid w:val="00972C41"/>
    <w:rsid w:val="00982938"/>
    <w:rsid w:val="009F3F5F"/>
    <w:rsid w:val="00A62871"/>
    <w:rsid w:val="00A72AB2"/>
    <w:rsid w:val="00A83E3F"/>
    <w:rsid w:val="00A965CE"/>
    <w:rsid w:val="00AF0648"/>
    <w:rsid w:val="00B4651E"/>
    <w:rsid w:val="00B54B80"/>
    <w:rsid w:val="00BC77DB"/>
    <w:rsid w:val="00C84959"/>
    <w:rsid w:val="00CE1E4B"/>
    <w:rsid w:val="00D34C39"/>
    <w:rsid w:val="00D57D4F"/>
    <w:rsid w:val="00D83AC7"/>
    <w:rsid w:val="00E045A0"/>
    <w:rsid w:val="00E6798F"/>
    <w:rsid w:val="00E9569E"/>
    <w:rsid w:val="00EA5992"/>
    <w:rsid w:val="00EC47D4"/>
    <w:rsid w:val="00ED233B"/>
    <w:rsid w:val="00ED4593"/>
    <w:rsid w:val="00EF6D81"/>
    <w:rsid w:val="00FD0AB4"/>
    <w:rsid w:val="00FE02F8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3A6F12"/>
    <w:pPr>
      <w:suppressAutoHyphens/>
      <w:spacing w:after="60" w:line="240" w:lineRule="auto"/>
      <w:jc w:val="both"/>
    </w:pPr>
    <w:rPr>
      <w:rFonts w:ascii="Candara" w:hAnsi="Candar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76CBE"/>
    <w:pPr>
      <w:keepNext/>
      <w:keepLines/>
      <w:spacing w:after="360"/>
      <w:contextualSpacing/>
      <w:outlineLvl w:val="0"/>
    </w:pPr>
    <w:rPr>
      <w:rFonts w:cs="Arial"/>
      <w:bCs/>
      <w:caps/>
      <w:kern w:val="32"/>
      <w:sz w:val="40"/>
      <w:szCs w:val="32"/>
    </w:rPr>
  </w:style>
  <w:style w:type="paragraph" w:styleId="2">
    <w:name w:val="heading 2"/>
    <w:basedOn w:val="a0"/>
    <w:next w:val="a0"/>
    <w:link w:val="20"/>
    <w:qFormat/>
    <w:rsid w:val="00176CBE"/>
    <w:pPr>
      <w:keepNext/>
      <w:keepLines/>
      <w:spacing w:before="200"/>
      <w:contextualSpacing/>
      <w:jc w:val="left"/>
      <w:outlineLvl w:val="1"/>
    </w:pPr>
    <w:rPr>
      <w:rFonts w:cs="Arial"/>
      <w:bCs/>
      <w:iCs/>
      <w:caps/>
      <w:sz w:val="32"/>
      <w:szCs w:val="28"/>
    </w:rPr>
  </w:style>
  <w:style w:type="paragraph" w:styleId="3">
    <w:name w:val="heading 3"/>
    <w:basedOn w:val="a0"/>
    <w:next w:val="a0"/>
    <w:link w:val="30"/>
    <w:qFormat/>
    <w:rsid w:val="00176CBE"/>
    <w:pPr>
      <w:keepNext/>
      <w:keepLines/>
      <w:spacing w:before="120"/>
      <w:jc w:val="left"/>
      <w:outlineLvl w:val="2"/>
    </w:pPr>
    <w:rPr>
      <w:rFonts w:cs="Arial"/>
      <w:bCs/>
      <w:i/>
      <w:cap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176CBE"/>
    <w:pPr>
      <w:ind w:left="91" w:hanging="91"/>
      <w:jc w:val="left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534796"/>
    <w:rPr>
      <w:rFonts w:ascii="Candara" w:eastAsia="Times New Roman" w:hAnsi="Candara" w:cs="Times New Roman"/>
      <w:sz w:val="20"/>
      <w:szCs w:val="20"/>
      <w:lang w:eastAsia="ru-RU"/>
    </w:rPr>
  </w:style>
  <w:style w:type="character" w:styleId="a6">
    <w:name w:val="footnote reference"/>
    <w:basedOn w:val="a1"/>
    <w:rsid w:val="00176CBE"/>
    <w:rPr>
      <w:vertAlign w:val="superscript"/>
    </w:rPr>
  </w:style>
  <w:style w:type="paragraph" w:customStyle="1" w:styleId="a7">
    <w:name w:val="врезка"/>
    <w:basedOn w:val="a0"/>
    <w:next w:val="a0"/>
    <w:link w:val="a8"/>
    <w:rsid w:val="00176CBE"/>
    <w:pPr>
      <w:ind w:left="708"/>
      <w:jc w:val="left"/>
    </w:pPr>
    <w:rPr>
      <w:sz w:val="20"/>
    </w:rPr>
  </w:style>
  <w:style w:type="character" w:customStyle="1" w:styleId="a8">
    <w:name w:val="врезка Знак"/>
    <w:basedOn w:val="a1"/>
    <w:link w:val="a7"/>
    <w:rsid w:val="00176CBE"/>
    <w:rPr>
      <w:rFonts w:ascii="Candara" w:eastAsia="Times New Roman" w:hAnsi="Candara" w:cs="Times New Roman"/>
      <w:sz w:val="20"/>
      <w:szCs w:val="24"/>
      <w:lang w:eastAsia="ru-RU"/>
    </w:rPr>
  </w:style>
  <w:style w:type="paragraph" w:styleId="a">
    <w:name w:val="List Paragraph"/>
    <w:basedOn w:val="a0"/>
    <w:uiPriority w:val="34"/>
    <w:qFormat/>
    <w:rsid w:val="00176CBE"/>
    <w:pPr>
      <w:numPr>
        <w:numId w:val="1"/>
      </w:numPr>
      <w:contextualSpacing/>
      <w:jc w:val="left"/>
    </w:pPr>
  </w:style>
  <w:style w:type="character" w:customStyle="1" w:styleId="10">
    <w:name w:val="Заголовок 1 Знак"/>
    <w:basedOn w:val="a1"/>
    <w:link w:val="1"/>
    <w:rsid w:val="00176CBE"/>
    <w:rPr>
      <w:rFonts w:ascii="Candara" w:eastAsia="Times New Roman" w:hAnsi="Candara" w:cs="Arial"/>
      <w:bCs/>
      <w:caps/>
      <w:kern w:val="32"/>
      <w:sz w:val="40"/>
      <w:szCs w:val="32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176CB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176CBE"/>
    <w:rPr>
      <w:rFonts w:ascii="Candara" w:eastAsiaTheme="majorEastAsia" w:hAnsi="Candara" w:cstheme="majorBidi"/>
      <w:spacing w:val="5"/>
      <w:kern w:val="28"/>
      <w:sz w:val="52"/>
      <w:szCs w:val="52"/>
      <w:lang w:eastAsia="ru-RU"/>
    </w:rPr>
  </w:style>
  <w:style w:type="paragraph" w:styleId="ab">
    <w:name w:val="Balloon Text"/>
    <w:basedOn w:val="a0"/>
    <w:link w:val="ac"/>
    <w:rsid w:val="00176CB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176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76CBE"/>
    <w:rPr>
      <w:rFonts w:ascii="Candara" w:eastAsia="Times New Roman" w:hAnsi="Candara" w:cs="Arial"/>
      <w:bCs/>
      <w:iCs/>
      <w:caps/>
      <w:sz w:val="32"/>
      <w:szCs w:val="28"/>
      <w:lang w:eastAsia="ru-RU"/>
    </w:rPr>
  </w:style>
  <w:style w:type="paragraph" w:customStyle="1" w:styleId="21">
    <w:name w:val="заголовок 2"/>
    <w:basedOn w:val="2"/>
    <w:autoRedefine/>
    <w:rsid w:val="00176CBE"/>
    <w:rPr>
      <w:sz w:val="24"/>
    </w:rPr>
  </w:style>
  <w:style w:type="character" w:customStyle="1" w:styleId="30">
    <w:name w:val="Заголовок 3 Знак"/>
    <w:basedOn w:val="a1"/>
    <w:link w:val="3"/>
    <w:rsid w:val="00176CBE"/>
    <w:rPr>
      <w:rFonts w:ascii="Candara" w:eastAsia="Times New Roman" w:hAnsi="Candara" w:cs="Arial"/>
      <w:bCs/>
      <w:i/>
      <w:caps/>
      <w:sz w:val="24"/>
      <w:szCs w:val="26"/>
      <w:lang w:eastAsia="ru-RU"/>
    </w:rPr>
  </w:style>
  <w:style w:type="table" w:styleId="ad">
    <w:name w:val="Table Grid"/>
    <w:basedOn w:val="a2"/>
    <w:rsid w:val="00176CBE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rsid w:val="00176CBE"/>
    <w:pPr>
      <w:ind w:left="708"/>
      <w:jc w:val="left"/>
    </w:pPr>
    <w:rPr>
      <w:sz w:val="20"/>
      <w:szCs w:val="20"/>
    </w:rPr>
  </w:style>
  <w:style w:type="paragraph" w:styleId="ae">
    <w:name w:val="caption"/>
    <w:basedOn w:val="a0"/>
    <w:next w:val="a0"/>
    <w:autoRedefine/>
    <w:uiPriority w:val="35"/>
    <w:unhideWhenUsed/>
    <w:qFormat/>
    <w:rsid w:val="00B4651E"/>
    <w:pPr>
      <w:spacing w:after="200"/>
    </w:pPr>
    <w:rPr>
      <w:b/>
      <w:bCs/>
      <w:color w:val="4F81BD" w:themeColor="accent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582E-4744-4C28-B131-812965B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istepkina</cp:lastModifiedBy>
  <cp:revision>5</cp:revision>
  <dcterms:created xsi:type="dcterms:W3CDTF">2012-02-03T11:09:00Z</dcterms:created>
  <dcterms:modified xsi:type="dcterms:W3CDTF">2012-02-15T21:15:00Z</dcterms:modified>
</cp:coreProperties>
</file>